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B13" w:rsidRDefault="00CB66CD">
      <w:pPr>
        <w:spacing w:after="300" w:line="276" w:lineRule="auto"/>
        <w:jc w:val="center"/>
      </w:pPr>
      <w:bookmarkStart w:id="0" w:name="_GoBack"/>
      <w:bookmarkEnd w:id="0"/>
      <w:r>
        <w:rPr>
          <w:b/>
          <w:bCs/>
          <w:sz w:val="42"/>
          <w:szCs w:val="42"/>
        </w:rPr>
        <w:t>BUSINESS CONTINUITY POLICY</w:t>
      </w:r>
    </w:p>
    <w:p w:rsidR="00AA6B13" w:rsidRDefault="00CB66CD">
      <w:pPr>
        <w:spacing w:after="260" w:line="276" w:lineRule="auto"/>
        <w:jc w:val="center"/>
      </w:pPr>
      <w:r>
        <w:rPr>
          <w:b/>
          <w:bCs/>
          <w:color w:val="C00000"/>
        </w:rPr>
        <w:t>[COMPANY NAME]</w:t>
      </w:r>
    </w:p>
    <w:tbl>
      <w:tblPr>
        <w:tblW w:w="8860" w:type="dxa"/>
        <w:tblBorders>
          <w:top w:val="single" w:sz="1" w:space="0" w:color="B0C4DE"/>
          <w:left w:val="single" w:sz="1" w:space="0" w:color="B0C4DE"/>
          <w:bottom w:val="single" w:sz="1" w:space="0" w:color="B0C4DE"/>
          <w:right w:val="single" w:sz="1" w:space="0" w:color="B0C4DE"/>
          <w:insideH w:val="single" w:sz="1" w:space="0" w:color="B0C4DE"/>
          <w:insideV w:val="single" w:sz="1" w:space="0" w:color="B0C4D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060"/>
      </w:tblGrid>
      <w:tr w:rsidR="00AA6B1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b/>
                <w:bCs/>
                <w:color w:val="FFFFFF"/>
                <w:sz w:val="19"/>
                <w:szCs w:val="19"/>
              </w:rPr>
              <w:t>Field</w:t>
            </w:r>
          </w:p>
        </w:tc>
        <w:tc>
          <w:tcPr>
            <w:tcW w:w="6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b/>
                <w:bCs/>
                <w:color w:val="FFFFFF"/>
                <w:sz w:val="19"/>
                <w:szCs w:val="19"/>
              </w:rPr>
              <w:t>Entry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Document owner</w:t>
            </w:r>
          </w:p>
        </w:tc>
        <w:tc>
          <w:tcPr>
            <w:tcW w:w="6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[Role, e.g., Chief Operating Officer]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Approved by</w:t>
            </w:r>
          </w:p>
        </w:tc>
        <w:tc>
          <w:tcPr>
            <w:tcW w:w="6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[Board / CEO name and date]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Version / issue date</w:t>
            </w:r>
          </w:p>
        </w:tc>
        <w:tc>
          <w:tcPr>
            <w:tcW w:w="6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[v1.0 / date]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Next review due</w:t>
            </w:r>
          </w:p>
        </w:tc>
        <w:tc>
          <w:tcPr>
            <w:tcW w:w="6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[Date, 12 months maximum]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Applies to</w:t>
            </w:r>
          </w:p>
        </w:tc>
        <w:tc>
          <w:tcPr>
            <w:tcW w:w="6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[All staff, sites, and critical suppliers of COMPANY NAME]</w:t>
            </w:r>
          </w:p>
        </w:tc>
      </w:tr>
    </w:tbl>
    <w:p w:rsidR="00AA6B13" w:rsidRDefault="00CB66CD">
      <w:pPr>
        <w:spacing w:after="160" w:line="276" w:lineRule="auto"/>
      </w:pPr>
      <w:r>
        <w:rPr>
          <w:i/>
          <w:iCs/>
          <w:sz w:val="18"/>
          <w:szCs w:val="18"/>
        </w:rPr>
        <w:t>Template from riskpublishing.com, aligned to ISO 22301:2019 clause 5 (including Amendment 1:2024). Replace bracketed fields; keep the policy to 3-4 pages. Detail belongs in plans, not policy.</w:t>
      </w:r>
    </w:p>
    <w:p w:rsidR="00AA6B13" w:rsidRDefault="00CB66CD">
      <w:r>
        <w:br w:type="page"/>
      </w:r>
    </w:p>
    <w:p w:rsidR="00AA6B13" w:rsidRDefault="00CB66CD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lastRenderedPageBreak/>
        <w:t>1.</w:t>
      </w:r>
      <w:r>
        <w:rPr>
          <w:b/>
          <w:bCs/>
          <w:color w:val="1B4F72"/>
          <w:sz w:val="30"/>
          <w:szCs w:val="30"/>
        </w:rPr>
        <w:t xml:space="preserve"> Policy Statement</w:t>
      </w:r>
    </w:p>
    <w:p w:rsidR="00AA6B13" w:rsidRDefault="00CB66CD">
      <w:pPr>
        <w:spacing w:after="160" w:line="276" w:lineRule="auto"/>
      </w:pPr>
      <w:r>
        <w:rPr>
          <w:b/>
          <w:bCs/>
          <w:color w:val="C00000"/>
        </w:rPr>
        <w:t>[COMPANY NAME]</w:t>
      </w:r>
      <w:r>
        <w:t xml:space="preserve"> is committed to protecting its people, serving its customers, and meeting its legal and contractual obligations through disruption. We will identify our critical activities, plan and resource their continuity and recovery, </w:t>
      </w:r>
      <w:r>
        <w:t>exercise those plans, and improve them continually. This commitment includes considering the effects of climate-related and other emerging disruption risks.</w:t>
      </w:r>
    </w:p>
    <w:p w:rsidR="00AA6B13" w:rsidRDefault="00CB66CD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t>2. Purpose and Objectives</w:t>
      </w:r>
    </w:p>
    <w:p w:rsidR="00AA6B13" w:rsidRDefault="00CB66CD">
      <w:pPr>
        <w:spacing w:after="160" w:line="276" w:lineRule="auto"/>
      </w:pPr>
      <w:r>
        <w:t xml:space="preserve">This policy establishes the business continuity management (BCM) program </w:t>
      </w:r>
      <w:r>
        <w:t xml:space="preserve">and commits the organization to: (a) protecting life and safety first; (b) recovering critical activities within agreed timeframes; (c) meeting obligations to customers, regulators, and suppliers; and (d) </w:t>
      </w:r>
      <w:r>
        <w:rPr>
          <w:b/>
          <w:bCs/>
          <w:color w:val="C00000"/>
        </w:rPr>
        <w:t>[add one objective specific to your mission]</w:t>
      </w:r>
      <w:r>
        <w:t>.</w:t>
      </w:r>
    </w:p>
    <w:p w:rsidR="00AA6B13" w:rsidRDefault="00CB66CD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t>3. Sc</w:t>
      </w:r>
      <w:r>
        <w:rPr>
          <w:b/>
          <w:bCs/>
          <w:color w:val="1B4F72"/>
          <w:sz w:val="30"/>
          <w:szCs w:val="30"/>
        </w:rPr>
        <w:t>ope</w:t>
      </w:r>
    </w:p>
    <w:p w:rsidR="00AA6B13" w:rsidRDefault="00CB66CD">
      <w:pPr>
        <w:spacing w:after="160" w:line="276" w:lineRule="auto"/>
      </w:pPr>
      <w:r>
        <w:rPr>
          <w:b/>
          <w:bCs/>
          <w:color w:val="C00000"/>
        </w:rPr>
        <w:t>[List the sites, business units, products/services, and outsourced activities covered. Name any exclusions and why. An unstated exclusion discovered during a disruption is a governance failure.]</w:t>
      </w:r>
    </w:p>
    <w:p w:rsidR="00AA6B13" w:rsidRDefault="00CB66CD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t>4. Policy Commitments</w:t>
      </w:r>
    </w:p>
    <w:tbl>
      <w:tblPr>
        <w:tblW w:w="8860" w:type="dxa"/>
        <w:tblBorders>
          <w:top w:val="single" w:sz="1" w:space="0" w:color="B0C4DE"/>
          <w:left w:val="single" w:sz="1" w:space="0" w:color="B0C4DE"/>
          <w:bottom w:val="single" w:sz="1" w:space="0" w:color="B0C4DE"/>
          <w:right w:val="single" w:sz="1" w:space="0" w:color="B0C4DE"/>
          <w:insideH w:val="single" w:sz="1" w:space="0" w:color="B0C4DE"/>
          <w:insideV w:val="single" w:sz="1" w:space="0" w:color="B0C4D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260"/>
      </w:tblGrid>
      <w:tr w:rsidR="00AA6B1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82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b/>
                <w:bCs/>
                <w:color w:val="FFFFFF"/>
                <w:sz w:val="19"/>
                <w:szCs w:val="19"/>
              </w:rPr>
              <w:t>Commitment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1</w:t>
            </w:r>
          </w:p>
        </w:tc>
        <w:tc>
          <w:tcPr>
            <w:tcW w:w="82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Maintain a business impact analysis identifying critical activities, recovery time objectives, and dependencies, refreshed at least annually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2</w:t>
            </w:r>
          </w:p>
        </w:tc>
        <w:tc>
          <w:tcPr>
            <w:tcW w:w="82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Maintain documented business continuity and disaster recovery plans for all critical activities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3</w:t>
            </w:r>
          </w:p>
        </w:tc>
        <w:tc>
          <w:tcPr>
            <w:tcW w:w="82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Exercise plans at least [twice] per year and record results, gaps, and corrective actions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4</w:t>
            </w:r>
          </w:p>
        </w:tc>
        <w:tc>
          <w:tcPr>
            <w:tcW w:w="82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Allocate the budget, people, and authority the program requires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5</w:t>
            </w:r>
          </w:p>
        </w:tc>
        <w:tc>
          <w:tcPr>
            <w:tcW w:w="82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Ensure critical suppliers hold and can evidence proportionate continuity arrangements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6</w:t>
            </w:r>
          </w:p>
        </w:tc>
        <w:tc>
          <w:tcPr>
            <w:tcW w:w="82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Report program status, exercise results, and material gaps to [Board/owner] at least annually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7</w:t>
            </w:r>
          </w:p>
        </w:tc>
        <w:tc>
          <w:tcPr>
            <w:tcW w:w="82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Review this policy annually and after any material incident, organizational change, or failed exercise</w:t>
            </w:r>
          </w:p>
        </w:tc>
      </w:tr>
    </w:tbl>
    <w:p w:rsidR="00AA6B13" w:rsidRDefault="00CB66CD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t>5. Roles and Responsibilities</w:t>
      </w:r>
    </w:p>
    <w:tbl>
      <w:tblPr>
        <w:tblW w:w="8860" w:type="dxa"/>
        <w:tblBorders>
          <w:top w:val="single" w:sz="1" w:space="0" w:color="B0C4DE"/>
          <w:left w:val="single" w:sz="1" w:space="0" w:color="B0C4DE"/>
          <w:bottom w:val="single" w:sz="1" w:space="0" w:color="B0C4DE"/>
          <w:right w:val="single" w:sz="1" w:space="0" w:color="B0C4DE"/>
          <w:insideH w:val="single" w:sz="1" w:space="0" w:color="B0C4DE"/>
          <w:insideV w:val="single" w:sz="1" w:space="0" w:color="B0C4D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260"/>
      </w:tblGrid>
      <w:tr w:rsidR="00AA6B1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b/>
                <w:bCs/>
                <w:color w:val="FFFFFF"/>
                <w:sz w:val="19"/>
                <w:szCs w:val="19"/>
              </w:rPr>
              <w:t>Role</w:t>
            </w:r>
          </w:p>
        </w:tc>
        <w:tc>
          <w:tcPr>
            <w:tcW w:w="62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b/>
                <w:bCs/>
                <w:color w:val="FFFFFF"/>
                <w:sz w:val="19"/>
                <w:szCs w:val="19"/>
              </w:rPr>
              <w:t>Responsibility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Board / Owner</w:t>
            </w:r>
          </w:p>
        </w:tc>
        <w:tc>
          <w:tcPr>
            <w:tcW w:w="62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Approves this policy; provides oversight; receives the annual program report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Executive sponsor</w:t>
            </w:r>
          </w:p>
        </w:tc>
        <w:tc>
          <w:tcPr>
            <w:tcW w:w="62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[Named role] Accountable for the BCM program, its budget, and escalations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BC coordinator</w:t>
            </w:r>
          </w:p>
        </w:tc>
        <w:tc>
          <w:tcPr>
            <w:tcW w:w="62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[Named role] Runs the program day to day: BIA, plans, exercises, reporting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Managers</w:t>
            </w:r>
          </w:p>
        </w:tc>
        <w:tc>
          <w:tcPr>
            <w:tcW w:w="62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Own continuity arrangements and staff readiness for their functions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lastRenderedPageBreak/>
              <w:t>All staff</w:t>
            </w:r>
          </w:p>
        </w:tc>
        <w:tc>
          <w:tcPr>
            <w:tcW w:w="62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Know their role in the plans; report disruptions and near misses promptly</w:t>
            </w:r>
          </w:p>
        </w:tc>
      </w:tr>
    </w:tbl>
    <w:p w:rsidR="00AA6B13" w:rsidRDefault="00CB66CD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t>6. Program Requirements</w:t>
      </w:r>
    </w:p>
    <w:p w:rsidR="00AA6B13" w:rsidRDefault="00CB66CD">
      <w:pPr>
        <w:spacing w:after="160" w:line="276" w:lineRule="auto"/>
      </w:pPr>
      <w:r>
        <w:t>The BCM program operates a continuing cycle: business impact analysis and risk assessment; continuity strategy selection; documented plans; exercising and testing; and management review. The program follows the structure of ISO 2230</w:t>
      </w:r>
      <w:r>
        <w:t xml:space="preserve">1:2019 </w:t>
      </w:r>
      <w:r>
        <w:rPr>
          <w:b/>
          <w:bCs/>
          <w:color w:val="C00000"/>
        </w:rPr>
        <w:t>[state if certification is/is not an objective]</w:t>
      </w:r>
      <w:r>
        <w:t>.</w:t>
      </w:r>
    </w:p>
    <w:p w:rsidR="00AA6B13" w:rsidRDefault="00CB66CD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t>7. Compliance and Exceptions</w:t>
      </w:r>
    </w:p>
    <w:p w:rsidR="00AA6B13" w:rsidRDefault="00CB66CD">
      <w:pPr>
        <w:spacing w:after="160" w:line="276" w:lineRule="auto"/>
      </w:pPr>
      <w:r>
        <w:t>Compliance with this policy is mandatory within its scope. Exceptions require written approval from the executive sponsor, a documented compensating measure, and an expiry</w:t>
      </w:r>
      <w:r>
        <w:t xml:space="preserve"> date. </w:t>
      </w:r>
      <w:r>
        <w:rPr>
          <w:b/>
          <w:bCs/>
          <w:color w:val="C00000"/>
        </w:rPr>
        <w:t>[State consequences and the exception register location.]</w:t>
      </w:r>
    </w:p>
    <w:p w:rsidR="00AA6B13" w:rsidRDefault="00CB66CD">
      <w:pPr>
        <w:pStyle w:val="Heading1"/>
        <w:spacing w:before="280" w:after="180"/>
      </w:pPr>
      <w:r>
        <w:rPr>
          <w:b/>
          <w:bCs/>
          <w:color w:val="1B4F72"/>
          <w:sz w:val="30"/>
          <w:szCs w:val="30"/>
        </w:rPr>
        <w:t>8. Review and Revision History</w:t>
      </w:r>
    </w:p>
    <w:tbl>
      <w:tblPr>
        <w:tblW w:w="9260" w:type="dxa"/>
        <w:tblBorders>
          <w:top w:val="single" w:sz="1" w:space="0" w:color="B0C4DE"/>
          <w:left w:val="single" w:sz="1" w:space="0" w:color="B0C4DE"/>
          <w:bottom w:val="single" w:sz="1" w:space="0" w:color="B0C4DE"/>
          <w:right w:val="single" w:sz="1" w:space="0" w:color="B0C4DE"/>
          <w:insideH w:val="single" w:sz="1" w:space="0" w:color="B0C4DE"/>
          <w:insideV w:val="single" w:sz="1" w:space="0" w:color="B0C4DE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1800"/>
        <w:gridCol w:w="3000"/>
        <w:gridCol w:w="3060"/>
      </w:tblGrid>
      <w:tr w:rsidR="00AA6B1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b/>
                <w:bCs/>
                <w:color w:val="FFFFFF"/>
                <w:sz w:val="19"/>
                <w:szCs w:val="19"/>
              </w:rPr>
              <w:t>Version</w:t>
            </w:r>
          </w:p>
        </w:tc>
        <w:tc>
          <w:tcPr>
            <w:tcW w:w="1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30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b/>
                <w:bCs/>
                <w:color w:val="FFFFFF"/>
                <w:sz w:val="19"/>
                <w:szCs w:val="19"/>
              </w:rPr>
              <w:t>Change summary</w:t>
            </w:r>
          </w:p>
        </w:tc>
        <w:tc>
          <w:tcPr>
            <w:tcW w:w="3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b/>
                <w:bCs/>
                <w:color w:val="FFFFFF"/>
                <w:sz w:val="19"/>
                <w:szCs w:val="19"/>
              </w:rPr>
              <w:t>Approved by</w:t>
            </w:r>
          </w:p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1.0</w:t>
            </w:r>
          </w:p>
        </w:tc>
        <w:tc>
          <w:tcPr>
            <w:tcW w:w="1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AA6B13"/>
        </w:tc>
        <w:tc>
          <w:tcPr>
            <w:tcW w:w="30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CB66CD">
            <w:r>
              <w:rPr>
                <w:sz w:val="19"/>
                <w:szCs w:val="19"/>
              </w:rPr>
              <w:t>Initial issue</w:t>
            </w:r>
          </w:p>
        </w:tc>
        <w:tc>
          <w:tcPr>
            <w:tcW w:w="3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AA6B13"/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AA6B13"/>
        </w:tc>
        <w:tc>
          <w:tcPr>
            <w:tcW w:w="1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AA6B13"/>
        </w:tc>
        <w:tc>
          <w:tcPr>
            <w:tcW w:w="30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AA6B13"/>
        </w:tc>
        <w:tc>
          <w:tcPr>
            <w:tcW w:w="3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BF5FB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AA6B13"/>
        </w:tc>
      </w:tr>
      <w:tr w:rsidR="00AA6B13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AA6B13"/>
        </w:tc>
        <w:tc>
          <w:tcPr>
            <w:tcW w:w="18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AA6B13"/>
        </w:tc>
        <w:tc>
          <w:tcPr>
            <w:tcW w:w="30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AA6B13"/>
        </w:tc>
        <w:tc>
          <w:tcPr>
            <w:tcW w:w="30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6B13" w:rsidRDefault="00AA6B13"/>
        </w:tc>
      </w:tr>
    </w:tbl>
    <w:p w:rsidR="00AA6B13" w:rsidRDefault="00CB66CD">
      <w:pPr>
        <w:spacing w:after="60" w:line="276" w:lineRule="auto"/>
      </w:pPr>
      <w:r>
        <w:t>Approved: _____________________</w:t>
      </w:r>
      <w:proofErr w:type="gramStart"/>
      <w:r>
        <w:t>_  Name</w:t>
      </w:r>
      <w:proofErr w:type="gramEnd"/>
      <w:r>
        <w:t>/Title: ______________________  Date: ____________</w:t>
      </w:r>
    </w:p>
    <w:sectPr w:rsidR="00AA6B13">
      <w:pgSz w:w="11906" w:h="16838"/>
      <w:pgMar w:top="1440" w:right="1260" w:bottom="144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0D2B"/>
    <w:multiLevelType w:val="hybridMultilevel"/>
    <w:tmpl w:val="B83EAAC0"/>
    <w:lvl w:ilvl="0" w:tplc="250EF064">
      <w:start w:val="1"/>
      <w:numFmt w:val="bullet"/>
      <w:lvlText w:val="●"/>
      <w:lvlJc w:val="left"/>
      <w:pPr>
        <w:ind w:left="720" w:hanging="360"/>
      </w:pPr>
    </w:lvl>
    <w:lvl w:ilvl="1" w:tplc="E9166F66">
      <w:start w:val="1"/>
      <w:numFmt w:val="bullet"/>
      <w:lvlText w:val="○"/>
      <w:lvlJc w:val="left"/>
      <w:pPr>
        <w:ind w:left="1440" w:hanging="360"/>
      </w:pPr>
    </w:lvl>
    <w:lvl w:ilvl="2" w:tplc="2700B6DA">
      <w:start w:val="1"/>
      <w:numFmt w:val="bullet"/>
      <w:lvlText w:val="■"/>
      <w:lvlJc w:val="left"/>
      <w:pPr>
        <w:ind w:left="2160" w:hanging="360"/>
      </w:pPr>
    </w:lvl>
    <w:lvl w:ilvl="3" w:tplc="68C02ABA">
      <w:start w:val="1"/>
      <w:numFmt w:val="bullet"/>
      <w:lvlText w:val="●"/>
      <w:lvlJc w:val="left"/>
      <w:pPr>
        <w:ind w:left="2880" w:hanging="360"/>
      </w:pPr>
    </w:lvl>
    <w:lvl w:ilvl="4" w:tplc="82EC22E0">
      <w:start w:val="1"/>
      <w:numFmt w:val="bullet"/>
      <w:lvlText w:val="○"/>
      <w:lvlJc w:val="left"/>
      <w:pPr>
        <w:ind w:left="3600" w:hanging="360"/>
      </w:pPr>
    </w:lvl>
    <w:lvl w:ilvl="5" w:tplc="7512D4E8">
      <w:start w:val="1"/>
      <w:numFmt w:val="bullet"/>
      <w:lvlText w:val="■"/>
      <w:lvlJc w:val="left"/>
      <w:pPr>
        <w:ind w:left="4320" w:hanging="360"/>
      </w:pPr>
    </w:lvl>
    <w:lvl w:ilvl="6" w:tplc="621A1B7E">
      <w:start w:val="1"/>
      <w:numFmt w:val="bullet"/>
      <w:lvlText w:val="●"/>
      <w:lvlJc w:val="left"/>
      <w:pPr>
        <w:ind w:left="5040" w:hanging="360"/>
      </w:pPr>
    </w:lvl>
    <w:lvl w:ilvl="7" w:tplc="1DC0AA7A">
      <w:start w:val="1"/>
      <w:numFmt w:val="bullet"/>
      <w:lvlText w:val="●"/>
      <w:lvlJc w:val="left"/>
      <w:pPr>
        <w:ind w:left="5760" w:hanging="360"/>
      </w:pPr>
    </w:lvl>
    <w:lvl w:ilvl="8" w:tplc="96C0AB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13"/>
    <w:rsid w:val="00AA6B13"/>
    <w:rsid w:val="00CB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24534A-13EA-4B41-A336-E32B87DA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Continuity Policy Template</vt:lpstr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Continuity Policy Template</dc:title>
  <dc:creator>riskpublishing.com</dc:creator>
  <cp:lastModifiedBy>Chris Ekai Lokipi</cp:lastModifiedBy>
  <cp:revision>2</cp:revision>
  <dcterms:created xsi:type="dcterms:W3CDTF">2026-07-22T11:07:00Z</dcterms:created>
  <dcterms:modified xsi:type="dcterms:W3CDTF">2026-07-22T11:07:00Z</dcterms:modified>
</cp:coreProperties>
</file>