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431" w:rsidRDefault="00F91652">
      <w:pPr>
        <w:spacing w:after="300" w:line="276" w:lineRule="auto"/>
        <w:jc w:val="center"/>
      </w:pPr>
      <w:bookmarkStart w:id="0" w:name="_GoBack"/>
      <w:bookmarkEnd w:id="0"/>
      <w:r>
        <w:rPr>
          <w:b/>
          <w:bCs/>
          <w:sz w:val="42"/>
          <w:szCs w:val="42"/>
        </w:rPr>
        <w:t>BUSINESS CONTINUITY STRATEGY</w:t>
      </w:r>
    </w:p>
    <w:p w:rsidR="00437431" w:rsidRDefault="00F91652">
      <w:pPr>
        <w:spacing w:after="260" w:line="276" w:lineRule="auto"/>
        <w:jc w:val="center"/>
      </w:pPr>
      <w:r>
        <w:rPr>
          <w:b/>
          <w:bCs/>
          <w:color w:val="C00000"/>
        </w:rPr>
        <w:t>[COMPANY NAME]</w:t>
      </w:r>
    </w:p>
    <w:tbl>
      <w:tblPr>
        <w:tblW w:w="8860" w:type="dxa"/>
        <w:tblBorders>
          <w:top w:val="single" w:sz="1" w:space="0" w:color="B0C4DE"/>
          <w:left w:val="single" w:sz="1" w:space="0" w:color="B0C4DE"/>
          <w:bottom w:val="single" w:sz="1" w:space="0" w:color="B0C4DE"/>
          <w:right w:val="single" w:sz="1" w:space="0" w:color="B0C4DE"/>
          <w:insideH w:val="single" w:sz="1" w:space="0" w:color="B0C4DE"/>
          <w:insideV w:val="single" w:sz="1" w:space="0" w:color="B0C4D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060"/>
      </w:tblGrid>
      <w:tr w:rsidR="0043743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Field</w:t>
            </w:r>
          </w:p>
        </w:tc>
        <w:tc>
          <w:tcPr>
            <w:tcW w:w="6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Entry</w:t>
            </w:r>
          </w:p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Document owner</w:t>
            </w:r>
          </w:p>
        </w:tc>
        <w:tc>
          <w:tcPr>
            <w:tcW w:w="6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[BC coordinator or equivalent role]</w:t>
            </w:r>
          </w:p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Approved by</w:t>
            </w:r>
          </w:p>
        </w:tc>
        <w:tc>
          <w:tcPr>
            <w:tcW w:w="6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[Executive sponsor, name and date]</w:t>
            </w:r>
          </w:p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Version / issue date</w:t>
            </w:r>
          </w:p>
        </w:tc>
        <w:tc>
          <w:tcPr>
            <w:tcW w:w="6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[v1.0 / date]</w:t>
            </w:r>
          </w:p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Based on BIA version</w:t>
            </w:r>
          </w:p>
        </w:tc>
        <w:tc>
          <w:tcPr>
            <w:tcW w:w="6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[BIA reference and date - strategy is only as current as its BIA]</w:t>
            </w:r>
          </w:p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Next review due</w:t>
            </w:r>
          </w:p>
        </w:tc>
        <w:tc>
          <w:tcPr>
            <w:tcW w:w="6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[Date, or on any material BIA change]</w:t>
            </w:r>
          </w:p>
        </w:tc>
      </w:tr>
    </w:tbl>
    <w:p w:rsidR="00437431" w:rsidRDefault="00F91652">
      <w:pPr>
        <w:spacing w:after="160" w:line="276" w:lineRule="auto"/>
      </w:pPr>
      <w:r>
        <w:rPr>
          <w:i/>
          <w:iCs/>
          <w:sz w:val="18"/>
          <w:szCs w:val="18"/>
        </w:rPr>
        <w:t xml:space="preserve">Template from riskpublishing.com, aligned to ISO 22301:2019 clause 8.3 and ISO/TS 22331:2018. Replace bracketed fields. This document records WHICH recovery capabilities you chose and WHY; the plans below </w:t>
      </w:r>
      <w:proofErr w:type="spellStart"/>
      <w:r>
        <w:rPr>
          <w:i/>
          <w:iCs/>
          <w:sz w:val="18"/>
          <w:szCs w:val="18"/>
        </w:rPr>
        <w:t>it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gramStart"/>
      <w:r>
        <w:rPr>
          <w:i/>
          <w:iCs/>
          <w:sz w:val="18"/>
          <w:szCs w:val="18"/>
        </w:rPr>
        <w:t>record</w:t>
      </w:r>
      <w:proofErr w:type="gramEnd"/>
      <w:r>
        <w:rPr>
          <w:i/>
          <w:iCs/>
          <w:sz w:val="18"/>
          <w:szCs w:val="18"/>
        </w:rPr>
        <w:t xml:space="preserve"> how to execute them.</w:t>
      </w:r>
    </w:p>
    <w:p w:rsidR="00437431" w:rsidRDefault="00F91652">
      <w:r>
        <w:br w:type="page"/>
      </w:r>
    </w:p>
    <w:p w:rsidR="00437431" w:rsidRDefault="00F91652">
      <w:pPr>
        <w:pStyle w:val="Heading1"/>
        <w:spacing w:before="280" w:after="180"/>
      </w:pPr>
      <w:r>
        <w:rPr>
          <w:b/>
          <w:bCs/>
          <w:color w:val="1B4F72"/>
          <w:sz w:val="30"/>
          <w:szCs w:val="30"/>
        </w:rPr>
        <w:lastRenderedPageBreak/>
        <w:t>1. Purpose and Sco</w:t>
      </w:r>
      <w:r>
        <w:rPr>
          <w:b/>
          <w:bCs/>
          <w:color w:val="1B4F72"/>
          <w:sz w:val="30"/>
          <w:szCs w:val="30"/>
        </w:rPr>
        <w:t>pe</w:t>
      </w:r>
    </w:p>
    <w:p w:rsidR="00437431" w:rsidRDefault="00F91652">
      <w:pPr>
        <w:spacing w:after="160" w:line="276" w:lineRule="auto"/>
      </w:pPr>
      <w:r>
        <w:t xml:space="preserve">This strategy translates the business impact analysis into selected continuity and recovery capabilities for </w:t>
      </w:r>
      <w:r>
        <w:rPr>
          <w:b/>
          <w:bCs/>
          <w:color w:val="C00000"/>
        </w:rPr>
        <w:t>[COMPANY NAME]</w:t>
      </w:r>
      <w:r>
        <w:t>. It covers the critical activities listed in Section 2 and the five resource categories each depends on: people, premises, techno</w:t>
      </w:r>
      <w:r>
        <w:t xml:space="preserve">logy, information, and suppliers. </w:t>
      </w:r>
      <w:r>
        <w:rPr>
          <w:b/>
          <w:bCs/>
          <w:color w:val="C00000"/>
        </w:rPr>
        <w:t>[Name any exclusions and why.]</w:t>
      </w:r>
    </w:p>
    <w:p w:rsidR="00437431" w:rsidRDefault="00F91652">
      <w:pPr>
        <w:pStyle w:val="Heading1"/>
        <w:spacing w:before="280" w:after="180"/>
      </w:pPr>
      <w:r>
        <w:rPr>
          <w:b/>
          <w:bCs/>
          <w:color w:val="1B4F72"/>
          <w:sz w:val="30"/>
          <w:szCs w:val="30"/>
        </w:rPr>
        <w:t>2. BIA Inputs This Strategy Serves</w:t>
      </w:r>
    </w:p>
    <w:p w:rsidR="00437431" w:rsidRDefault="00F91652">
      <w:pPr>
        <w:spacing w:after="160" w:line="276" w:lineRule="auto"/>
      </w:pPr>
      <w:r>
        <w:t>Carry these figures over from the approved BIA. If a row is blank, stop: strategy selection without an RTO is guesswork.</w:t>
      </w:r>
    </w:p>
    <w:tbl>
      <w:tblPr>
        <w:tblW w:w="8860" w:type="dxa"/>
        <w:tblBorders>
          <w:top w:val="single" w:sz="1" w:space="0" w:color="B0C4DE"/>
          <w:left w:val="single" w:sz="1" w:space="0" w:color="B0C4DE"/>
          <w:bottom w:val="single" w:sz="1" w:space="0" w:color="B0C4DE"/>
          <w:right w:val="single" w:sz="1" w:space="0" w:color="B0C4DE"/>
          <w:insideH w:val="single" w:sz="1" w:space="0" w:color="B0C4DE"/>
          <w:insideV w:val="single" w:sz="1" w:space="0" w:color="B0C4D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1500"/>
        <w:gridCol w:w="1500"/>
        <w:gridCol w:w="1600"/>
        <w:gridCol w:w="1500"/>
      </w:tblGrid>
      <w:tr w:rsidR="0043743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Critical activity</w:t>
            </w:r>
          </w:p>
        </w:tc>
        <w:tc>
          <w:tcPr>
            <w:tcW w:w="15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RTO</w:t>
            </w:r>
          </w:p>
        </w:tc>
        <w:tc>
          <w:tcPr>
            <w:tcW w:w="15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RPO</w:t>
            </w:r>
          </w:p>
        </w:tc>
        <w:tc>
          <w:tcPr>
            <w:tcW w:w="1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MTPD</w:t>
            </w:r>
          </w:p>
        </w:tc>
        <w:tc>
          <w:tcPr>
            <w:tcW w:w="15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Peak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 period</w:t>
            </w:r>
          </w:p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[e.g., Order processing]</w:t>
            </w:r>
          </w:p>
        </w:tc>
        <w:tc>
          <w:tcPr>
            <w:tcW w:w="15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 xml:space="preserve">[4 </w:t>
            </w:r>
            <w:proofErr w:type="spellStart"/>
            <w:r>
              <w:rPr>
                <w:sz w:val="19"/>
                <w:szCs w:val="19"/>
              </w:rPr>
              <w:t>hrs</w:t>
            </w:r>
            <w:proofErr w:type="spellEnd"/>
            <w:r>
              <w:rPr>
                <w:sz w:val="19"/>
                <w:szCs w:val="19"/>
              </w:rPr>
              <w:t>]</w:t>
            </w:r>
          </w:p>
        </w:tc>
        <w:tc>
          <w:tcPr>
            <w:tcW w:w="15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[15 min]</w:t>
            </w:r>
          </w:p>
        </w:tc>
        <w:tc>
          <w:tcPr>
            <w:tcW w:w="1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 xml:space="preserve">[24 </w:t>
            </w:r>
            <w:proofErr w:type="spellStart"/>
            <w:r>
              <w:rPr>
                <w:sz w:val="19"/>
                <w:szCs w:val="19"/>
              </w:rPr>
              <w:t>hrs</w:t>
            </w:r>
            <w:proofErr w:type="spellEnd"/>
            <w:r>
              <w:rPr>
                <w:sz w:val="19"/>
                <w:szCs w:val="19"/>
              </w:rPr>
              <w:t>]</w:t>
            </w:r>
          </w:p>
        </w:tc>
        <w:tc>
          <w:tcPr>
            <w:tcW w:w="15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[Nov-Jan]</w:t>
            </w:r>
          </w:p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5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5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5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5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5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5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5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5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5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</w:tr>
    </w:tbl>
    <w:p w:rsidR="00437431" w:rsidRDefault="00F91652">
      <w:pPr>
        <w:pStyle w:val="Heading1"/>
        <w:spacing w:before="280" w:after="180"/>
      </w:pPr>
      <w:r>
        <w:rPr>
          <w:b/>
          <w:bCs/>
          <w:color w:val="1B4F72"/>
          <w:sz w:val="30"/>
          <w:szCs w:val="30"/>
        </w:rPr>
        <w:t>3. Strategy Options Considered by Resource Category</w:t>
      </w:r>
    </w:p>
    <w:tbl>
      <w:tblPr>
        <w:tblW w:w="8860" w:type="dxa"/>
        <w:tblBorders>
          <w:top w:val="single" w:sz="1" w:space="0" w:color="B0C4DE"/>
          <w:left w:val="single" w:sz="1" w:space="0" w:color="B0C4DE"/>
          <w:bottom w:val="single" w:sz="1" w:space="0" w:color="B0C4DE"/>
          <w:right w:val="single" w:sz="1" w:space="0" w:color="B0C4DE"/>
          <w:insideH w:val="single" w:sz="1" w:space="0" w:color="B0C4DE"/>
          <w:insideV w:val="single" w:sz="1" w:space="0" w:color="B0C4D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3560"/>
        <w:gridCol w:w="3400"/>
      </w:tblGrid>
      <w:tr w:rsidR="0043743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Resource</w:t>
            </w:r>
          </w:p>
        </w:tc>
        <w:tc>
          <w:tcPr>
            <w:tcW w:w="35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Options considered</w:t>
            </w:r>
          </w:p>
        </w:tc>
        <w:tc>
          <w:tcPr>
            <w:tcW w:w="3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Notes / constraints</w:t>
            </w:r>
          </w:p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People</w:t>
            </w:r>
          </w:p>
        </w:tc>
        <w:tc>
          <w:tcPr>
            <w:tcW w:w="35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[Cross-training, remote work, succession pairs, staff transfer between sites, contractor bench]</w:t>
            </w:r>
          </w:p>
        </w:tc>
        <w:tc>
          <w:tcPr>
            <w:tcW w:w="3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[Minimum staffing per activity]</w:t>
            </w:r>
          </w:p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Premises</w:t>
            </w:r>
          </w:p>
        </w:tc>
        <w:tc>
          <w:tcPr>
            <w:tcW w:w="35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[Work from home, second site, reciprocal agreement, work area recovery vendor]</w:t>
            </w:r>
          </w:p>
        </w:tc>
        <w:tc>
          <w:tcPr>
            <w:tcW w:w="3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[Commute radius, capacity]</w:t>
            </w:r>
          </w:p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Technology</w:t>
            </w:r>
          </w:p>
        </w:tc>
        <w:tc>
          <w:tcPr>
            <w:tcW w:w="35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[Hot/warm/cold standby, cloud failover, DR-as-a-service, manual workaround]</w:t>
            </w:r>
          </w:p>
        </w:tc>
        <w:tc>
          <w:tcPr>
            <w:tcW w:w="3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[Must meet RTO in Section 2]</w:t>
            </w:r>
          </w:p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Information</w:t>
            </w:r>
          </w:p>
        </w:tc>
        <w:tc>
          <w:tcPr>
            <w:tcW w:w="35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[Backup frequency and location, replication, vital records, paper fallback]</w:t>
            </w:r>
          </w:p>
        </w:tc>
        <w:tc>
          <w:tcPr>
            <w:tcW w:w="3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[Must meet RPO in Section 2]</w:t>
            </w:r>
          </w:p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Suppliers</w:t>
            </w:r>
          </w:p>
        </w:tc>
        <w:tc>
          <w:tcPr>
            <w:tcW w:w="35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[Dual sourcing, stockholding, supplier BC evidence, substitution]</w:t>
            </w:r>
          </w:p>
        </w:tc>
        <w:tc>
          <w:tcPr>
            <w:tcW w:w="3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[Single points of failure]</w:t>
            </w:r>
          </w:p>
        </w:tc>
      </w:tr>
    </w:tbl>
    <w:p w:rsidR="00437431" w:rsidRDefault="00F91652">
      <w:pPr>
        <w:pStyle w:val="Heading1"/>
        <w:spacing w:before="280" w:after="180"/>
      </w:pPr>
      <w:r>
        <w:rPr>
          <w:b/>
          <w:bCs/>
          <w:color w:val="1B4F72"/>
          <w:sz w:val="30"/>
          <w:szCs w:val="30"/>
        </w:rPr>
        <w:t>4. Evaluation Criteria</w:t>
      </w:r>
    </w:p>
    <w:p w:rsidR="00437431" w:rsidRDefault="00F91652">
      <w:pPr>
        <w:spacing w:after="160" w:line="276" w:lineRule="auto"/>
      </w:pPr>
      <w:r>
        <w:t xml:space="preserve">Each option was assessed against: (a) ability to meet the RTO and RPO; (b) total cost of ownership over </w:t>
      </w:r>
      <w:r>
        <w:rPr>
          <w:b/>
          <w:bCs/>
          <w:color w:val="C00000"/>
        </w:rPr>
        <w:t xml:space="preserve">[3] </w:t>
      </w:r>
      <w:r>
        <w:t xml:space="preserve">years; (c) implementation feasibility within </w:t>
      </w:r>
      <w:r>
        <w:rPr>
          <w:b/>
          <w:bCs/>
          <w:color w:val="C00000"/>
        </w:rPr>
        <w:t xml:space="preserve">[6] </w:t>
      </w:r>
      <w:r>
        <w:t>months; (d) whether it introduces new single points of failure; and (e) fit with existing insurance and contractual obligations.</w:t>
      </w:r>
    </w:p>
    <w:p w:rsidR="00437431" w:rsidRDefault="00F91652">
      <w:pPr>
        <w:pStyle w:val="Heading1"/>
        <w:spacing w:before="280" w:after="180"/>
      </w:pPr>
      <w:r>
        <w:rPr>
          <w:b/>
          <w:bCs/>
          <w:color w:val="1B4F72"/>
          <w:sz w:val="30"/>
          <w:szCs w:val="30"/>
        </w:rPr>
        <w:t>5. Selected Strategies per Critical Activity</w:t>
      </w:r>
    </w:p>
    <w:tbl>
      <w:tblPr>
        <w:tblW w:w="9360" w:type="dxa"/>
        <w:tblBorders>
          <w:top w:val="single" w:sz="1" w:space="0" w:color="B0C4DE"/>
          <w:left w:val="single" w:sz="1" w:space="0" w:color="B0C4DE"/>
          <w:bottom w:val="single" w:sz="1" w:space="0" w:color="B0C4DE"/>
          <w:right w:val="single" w:sz="1" w:space="0" w:color="B0C4DE"/>
          <w:insideH w:val="single" w:sz="1" w:space="0" w:color="B0C4DE"/>
          <w:insideV w:val="single" w:sz="1" w:space="0" w:color="B0C4D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800"/>
        <w:gridCol w:w="1400"/>
        <w:gridCol w:w="1400"/>
        <w:gridCol w:w="1360"/>
      </w:tblGrid>
      <w:tr w:rsidR="0043743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Critical activity</w:t>
            </w:r>
          </w:p>
        </w:tc>
        <w:tc>
          <w:tcPr>
            <w:tcW w:w="2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Chosen strategy</w:t>
            </w:r>
          </w:p>
        </w:tc>
        <w:tc>
          <w:tcPr>
            <w:tcW w:w="1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RTO achieved</w:t>
            </w:r>
          </w:p>
        </w:tc>
        <w:tc>
          <w:tcPr>
            <w:tcW w:w="1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Gap vs RTO</w:t>
            </w:r>
          </w:p>
        </w:tc>
        <w:tc>
          <w:tcPr>
            <w:tcW w:w="13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Annual cost</w:t>
            </w:r>
          </w:p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[Order processing]</w:t>
            </w:r>
          </w:p>
        </w:tc>
        <w:tc>
          <w:tcPr>
            <w:tcW w:w="2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[Cloud failover + WFH]</w:t>
            </w:r>
          </w:p>
        </w:tc>
        <w:tc>
          <w:tcPr>
            <w:tcW w:w="1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 xml:space="preserve">[6 </w:t>
            </w:r>
            <w:proofErr w:type="spellStart"/>
            <w:r>
              <w:rPr>
                <w:sz w:val="19"/>
                <w:szCs w:val="19"/>
              </w:rPr>
              <w:t>hrs</w:t>
            </w:r>
            <w:proofErr w:type="spellEnd"/>
            <w:r>
              <w:rPr>
                <w:sz w:val="19"/>
                <w:szCs w:val="19"/>
              </w:rPr>
              <w:t>]</w:t>
            </w:r>
          </w:p>
        </w:tc>
        <w:tc>
          <w:tcPr>
            <w:tcW w:w="1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 xml:space="preserve">[2 </w:t>
            </w:r>
            <w:proofErr w:type="spellStart"/>
            <w:r>
              <w:rPr>
                <w:sz w:val="19"/>
                <w:szCs w:val="19"/>
              </w:rPr>
              <w:t>hrs</w:t>
            </w:r>
            <w:proofErr w:type="spellEnd"/>
            <w:r>
              <w:rPr>
                <w:sz w:val="19"/>
                <w:szCs w:val="19"/>
              </w:rPr>
              <w:t xml:space="preserve"> - accepted]</w:t>
            </w:r>
          </w:p>
        </w:tc>
        <w:tc>
          <w:tcPr>
            <w:tcW w:w="13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[$18,000]</w:t>
            </w:r>
          </w:p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2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3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2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3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2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3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</w:tr>
    </w:tbl>
    <w:p w:rsidR="00437431" w:rsidRDefault="00F91652">
      <w:pPr>
        <w:spacing w:after="160" w:line="276" w:lineRule="auto"/>
      </w:pPr>
      <w:r>
        <w:t>Where the achieved RTO misses the required RTO, the gap is either accepted in writing by the executive sponsor or closed by a funded action in Section 6. Unacknowledged gaps are how strategies fail quietly.</w:t>
      </w:r>
    </w:p>
    <w:p w:rsidR="00437431" w:rsidRDefault="00F91652">
      <w:pPr>
        <w:pStyle w:val="Heading1"/>
        <w:spacing w:before="280" w:after="180"/>
      </w:pPr>
      <w:r>
        <w:rPr>
          <w:b/>
          <w:bCs/>
          <w:color w:val="1B4F72"/>
          <w:sz w:val="30"/>
          <w:szCs w:val="30"/>
        </w:rPr>
        <w:t>6. Resource Requirements and Gap Actions</w:t>
      </w:r>
    </w:p>
    <w:tbl>
      <w:tblPr>
        <w:tblW w:w="9360" w:type="dxa"/>
        <w:tblBorders>
          <w:top w:val="single" w:sz="1" w:space="0" w:color="B0C4DE"/>
          <w:left w:val="single" w:sz="1" w:space="0" w:color="B0C4DE"/>
          <w:bottom w:val="single" w:sz="1" w:space="0" w:color="B0C4DE"/>
          <w:right w:val="single" w:sz="1" w:space="0" w:color="B0C4DE"/>
          <w:insideH w:val="single" w:sz="1" w:space="0" w:color="B0C4DE"/>
          <w:insideV w:val="single" w:sz="1" w:space="0" w:color="B0C4D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4460"/>
        <w:gridCol w:w="2000"/>
        <w:gridCol w:w="1700"/>
      </w:tblGrid>
      <w:tr w:rsidR="0043743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44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Action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 to close gap or build capability</w:t>
            </w:r>
          </w:p>
        </w:tc>
        <w:tc>
          <w:tcPr>
            <w:tcW w:w="20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Owner</w:t>
            </w:r>
          </w:p>
        </w:tc>
        <w:tc>
          <w:tcPr>
            <w:tcW w:w="17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Due date</w:t>
            </w:r>
          </w:p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1</w:t>
            </w:r>
          </w:p>
        </w:tc>
        <w:tc>
          <w:tcPr>
            <w:tcW w:w="44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20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7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2</w:t>
            </w:r>
          </w:p>
        </w:tc>
        <w:tc>
          <w:tcPr>
            <w:tcW w:w="44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20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7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3</w:t>
            </w:r>
          </w:p>
        </w:tc>
        <w:tc>
          <w:tcPr>
            <w:tcW w:w="44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20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7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</w:tr>
    </w:tbl>
    <w:p w:rsidR="00437431" w:rsidRDefault="00F91652">
      <w:pPr>
        <w:pStyle w:val="Heading1"/>
        <w:spacing w:before="280" w:after="180"/>
      </w:pPr>
      <w:r>
        <w:rPr>
          <w:b/>
          <w:bCs/>
          <w:color w:val="1B4F72"/>
          <w:sz w:val="30"/>
          <w:szCs w:val="30"/>
        </w:rPr>
        <w:t>7. Approval and Review History</w:t>
      </w:r>
    </w:p>
    <w:tbl>
      <w:tblPr>
        <w:tblW w:w="9260" w:type="dxa"/>
        <w:tblBorders>
          <w:top w:val="single" w:sz="1" w:space="0" w:color="B0C4DE"/>
          <w:left w:val="single" w:sz="1" w:space="0" w:color="B0C4DE"/>
          <w:bottom w:val="single" w:sz="1" w:space="0" w:color="B0C4DE"/>
          <w:right w:val="single" w:sz="1" w:space="0" w:color="B0C4DE"/>
          <w:insideH w:val="single" w:sz="1" w:space="0" w:color="B0C4DE"/>
          <w:insideV w:val="single" w:sz="1" w:space="0" w:color="B0C4D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800"/>
        <w:gridCol w:w="3000"/>
        <w:gridCol w:w="3060"/>
      </w:tblGrid>
      <w:tr w:rsidR="0043743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Version</w:t>
            </w:r>
          </w:p>
        </w:tc>
        <w:tc>
          <w:tcPr>
            <w:tcW w:w="1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30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Change summary</w:t>
            </w:r>
          </w:p>
        </w:tc>
        <w:tc>
          <w:tcPr>
            <w:tcW w:w="3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b/>
                <w:bCs/>
                <w:color w:val="FFFFFF"/>
                <w:sz w:val="19"/>
                <w:szCs w:val="19"/>
              </w:rPr>
              <w:t>Approved by</w:t>
            </w:r>
          </w:p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1.0</w:t>
            </w:r>
          </w:p>
        </w:tc>
        <w:tc>
          <w:tcPr>
            <w:tcW w:w="1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30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F91652">
            <w:r>
              <w:rPr>
                <w:sz w:val="19"/>
                <w:szCs w:val="19"/>
              </w:rPr>
              <w:t>Initial issue</w:t>
            </w:r>
          </w:p>
        </w:tc>
        <w:tc>
          <w:tcPr>
            <w:tcW w:w="3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</w:tr>
      <w:tr w:rsidR="0043743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1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30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  <w:tc>
          <w:tcPr>
            <w:tcW w:w="3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37431" w:rsidRDefault="00437431"/>
        </w:tc>
      </w:tr>
    </w:tbl>
    <w:p w:rsidR="00437431" w:rsidRDefault="00F91652">
      <w:pPr>
        <w:spacing w:after="60" w:line="276" w:lineRule="auto"/>
      </w:pPr>
      <w:r>
        <w:t>Approved: _____________________</w:t>
      </w:r>
      <w:proofErr w:type="gramStart"/>
      <w:r>
        <w:t>_  Name</w:t>
      </w:r>
      <w:proofErr w:type="gramEnd"/>
      <w:r>
        <w:t>/Title: ______________________  Date: ____________</w:t>
      </w:r>
    </w:p>
    <w:sectPr w:rsidR="00437431">
      <w:pgSz w:w="11906" w:h="16838"/>
      <w:pgMar w:top="1440" w:right="1260" w:bottom="144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35FC6"/>
    <w:multiLevelType w:val="hybridMultilevel"/>
    <w:tmpl w:val="0F50F378"/>
    <w:lvl w:ilvl="0" w:tplc="D9423942">
      <w:start w:val="1"/>
      <w:numFmt w:val="bullet"/>
      <w:lvlText w:val="●"/>
      <w:lvlJc w:val="left"/>
      <w:pPr>
        <w:ind w:left="720" w:hanging="360"/>
      </w:pPr>
    </w:lvl>
    <w:lvl w:ilvl="1" w:tplc="F6BC2B74">
      <w:start w:val="1"/>
      <w:numFmt w:val="bullet"/>
      <w:lvlText w:val="○"/>
      <w:lvlJc w:val="left"/>
      <w:pPr>
        <w:ind w:left="1440" w:hanging="360"/>
      </w:pPr>
    </w:lvl>
    <w:lvl w:ilvl="2" w:tplc="619E44A8">
      <w:start w:val="1"/>
      <w:numFmt w:val="bullet"/>
      <w:lvlText w:val="■"/>
      <w:lvlJc w:val="left"/>
      <w:pPr>
        <w:ind w:left="2160" w:hanging="360"/>
      </w:pPr>
    </w:lvl>
    <w:lvl w:ilvl="3" w:tplc="63EA6C76">
      <w:start w:val="1"/>
      <w:numFmt w:val="bullet"/>
      <w:lvlText w:val="●"/>
      <w:lvlJc w:val="left"/>
      <w:pPr>
        <w:ind w:left="2880" w:hanging="360"/>
      </w:pPr>
    </w:lvl>
    <w:lvl w:ilvl="4" w:tplc="7FF411B4">
      <w:start w:val="1"/>
      <w:numFmt w:val="bullet"/>
      <w:lvlText w:val="○"/>
      <w:lvlJc w:val="left"/>
      <w:pPr>
        <w:ind w:left="3600" w:hanging="360"/>
      </w:pPr>
    </w:lvl>
    <w:lvl w:ilvl="5" w:tplc="87AA1EA2">
      <w:start w:val="1"/>
      <w:numFmt w:val="bullet"/>
      <w:lvlText w:val="■"/>
      <w:lvlJc w:val="left"/>
      <w:pPr>
        <w:ind w:left="4320" w:hanging="360"/>
      </w:pPr>
    </w:lvl>
    <w:lvl w:ilvl="6" w:tplc="9DE28E6E">
      <w:start w:val="1"/>
      <w:numFmt w:val="bullet"/>
      <w:lvlText w:val="●"/>
      <w:lvlJc w:val="left"/>
      <w:pPr>
        <w:ind w:left="5040" w:hanging="360"/>
      </w:pPr>
    </w:lvl>
    <w:lvl w:ilvl="7" w:tplc="8BCED632">
      <w:start w:val="1"/>
      <w:numFmt w:val="bullet"/>
      <w:lvlText w:val="●"/>
      <w:lvlJc w:val="left"/>
      <w:pPr>
        <w:ind w:left="5760" w:hanging="360"/>
      </w:pPr>
    </w:lvl>
    <w:lvl w:ilvl="8" w:tplc="F9CE11E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1"/>
    <w:rsid w:val="00437431"/>
    <w:rsid w:val="00F9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24534A-13EA-4B41-A336-E32B87DA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Continuity Strategy Template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Continuity Strategy Template</dc:title>
  <dc:creator>riskpublishing.com</dc:creator>
  <cp:lastModifiedBy>Chris Ekai Lokipi</cp:lastModifiedBy>
  <cp:revision>2</cp:revision>
  <dcterms:created xsi:type="dcterms:W3CDTF">2026-07-22T13:31:00Z</dcterms:created>
  <dcterms:modified xsi:type="dcterms:W3CDTF">2026-07-22T13:31:00Z</dcterms:modified>
</cp:coreProperties>
</file>